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15" w:rsidRDefault="00585115" w:rsidP="00F00598">
      <w:pPr>
        <w:spacing w:after="120" w:line="240" w:lineRule="auto"/>
        <w:rPr>
          <w:rFonts w:ascii="Times New Roman" w:eastAsia="Times New Roman" w:hAnsi="Times New Roman" w:cs="Times New Roman"/>
          <w:b/>
          <w:color w:val="000000"/>
          <w:sz w:val="24"/>
          <w:szCs w:val="24"/>
        </w:rPr>
      </w:pPr>
      <w:r w:rsidRPr="00585115">
        <w:rPr>
          <w:rFonts w:ascii="Times New Roman" w:eastAsia="Times New Roman" w:hAnsi="Times New Roman" w:cs="Times New Roman"/>
          <w:b/>
          <w:color w:val="000000"/>
          <w:sz w:val="24"/>
          <w:szCs w:val="24"/>
        </w:rPr>
        <w:t>Pro and Cons of Equity Indexed Annuities</w:t>
      </w:r>
    </w:p>
    <w:p w:rsidR="00F00598" w:rsidRPr="00F00598" w:rsidRDefault="00F00598" w:rsidP="00F00598">
      <w:pPr>
        <w:spacing w:after="120" w:line="240" w:lineRule="auto"/>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 xml:space="preserve">There are a few reasons why an equity-index annuity is attractive. Let's say you can't choose between a variable annuity or a fixed annuity. An equity-indexed annuity offers the investor the best of both worlds. An equity-indexed annuity is also an option if you want to benefit from market returns but don't want to handle the risk of the </w:t>
      </w:r>
      <w:hyperlink r:id="rId5" w:history="1">
        <w:r w:rsidRPr="00F00598">
          <w:rPr>
            <w:rFonts w:ascii="Times New Roman" w:eastAsia="Times New Roman" w:hAnsi="Times New Roman" w:cs="Times New Roman"/>
            <w:color w:val="006400"/>
            <w:sz w:val="24"/>
            <w:szCs w:val="24"/>
            <w:u w:val="single"/>
          </w:rPr>
          <w:t>stock</w:t>
        </w:r>
      </w:hyperlink>
      <w:r w:rsidRPr="00F00598">
        <w:rPr>
          <w:rFonts w:ascii="Times New Roman" w:eastAsia="Times New Roman" w:hAnsi="Times New Roman" w:cs="Times New Roman"/>
          <w:color w:val="000000"/>
          <w:sz w:val="24"/>
          <w:szCs w:val="24"/>
        </w:rPr>
        <w:t xml:space="preserve"> market. Before purchasing an equity-index annuity, consider the pros and cons.</w:t>
      </w:r>
    </w:p>
    <w:p w:rsidR="00F00598" w:rsidRPr="00F00598" w:rsidRDefault="00F00598" w:rsidP="00F00598">
      <w:pPr>
        <w:numPr>
          <w:ilvl w:val="0"/>
          <w:numId w:val="1"/>
        </w:numPr>
        <w:spacing w:before="100" w:beforeAutospacing="1" w:after="100" w:afterAutospacing="1" w:line="240" w:lineRule="auto"/>
        <w:ind w:left="0"/>
        <w:outlineLvl w:val="1"/>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Definition</w:t>
      </w:r>
    </w:p>
    <w:p w:rsidR="00F00598" w:rsidRPr="00F00598" w:rsidRDefault="00F00598" w:rsidP="00F00598">
      <w:pPr>
        <w:spacing w:before="120" w:after="120" w:line="240" w:lineRule="auto"/>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 xml:space="preserve">The Securities and Exchange Commission describes an equity-indexed annuity as a special type of annuity. During the accumulation period, the insurance company credits the investor with a return based on the changes in an </w:t>
      </w:r>
      <w:hyperlink r:id="rId6" w:history="1">
        <w:r w:rsidRPr="00F00598">
          <w:rPr>
            <w:rFonts w:ascii="Times New Roman" w:eastAsia="Times New Roman" w:hAnsi="Times New Roman" w:cs="Times New Roman"/>
            <w:color w:val="006400"/>
            <w:sz w:val="24"/>
            <w:szCs w:val="24"/>
            <w:u w:val="single"/>
          </w:rPr>
          <w:t>equity</w:t>
        </w:r>
      </w:hyperlink>
      <w:r w:rsidRPr="00F00598">
        <w:rPr>
          <w:rFonts w:ascii="Times New Roman" w:eastAsia="Times New Roman" w:hAnsi="Times New Roman" w:cs="Times New Roman"/>
          <w:color w:val="000000"/>
          <w:sz w:val="24"/>
          <w:szCs w:val="24"/>
        </w:rPr>
        <w:t xml:space="preserve"> index, such as the Standard &amp; Poor's 500. The accumulation period is when the investor makes a lump-sum payment or a series of payments. The insurance company guarantees a minimum return. Guaranteed minimum return rates vary. After the accumulation period, the insurance company makes periodic payments to the investor under the terms of the contract, unless the investor chooses to accept the contract value in a lump sum.</w:t>
      </w:r>
    </w:p>
    <w:p w:rsidR="00F00598" w:rsidRPr="00F00598" w:rsidRDefault="00F00598" w:rsidP="00F00598">
      <w:pPr>
        <w:pStyle w:val="Heading2"/>
        <w:rPr>
          <w:color w:val="000000"/>
          <w:sz w:val="24"/>
          <w:szCs w:val="24"/>
        </w:rPr>
      </w:pPr>
      <w:r w:rsidRPr="00F00598">
        <w:rPr>
          <w:color w:val="000000"/>
          <w:sz w:val="24"/>
          <w:szCs w:val="24"/>
        </w:rPr>
        <w:t>Function</w:t>
      </w:r>
    </w:p>
    <w:p w:rsidR="00F00598" w:rsidRPr="00F00598" w:rsidRDefault="00F00598" w:rsidP="00F00598">
      <w:pPr>
        <w:numPr>
          <w:ilvl w:val="0"/>
          <w:numId w:val="2"/>
        </w:numPr>
        <w:spacing w:before="120" w:after="120" w:line="240" w:lineRule="auto"/>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An equity-indexed annuity is a combination of a variable and fixed annuity. Like a fixed annuity, the investor gets a low-risk guaranteed minimum returns that typically runs between 2 to 3 percent. Similar to a variable annuity, the investor has an opportunity for potential higher gains if the stock market rises, since an equity-indexed annuity's return depends on the performance of a benchmark index, like the Standard &amp; Poor's 500.</w:t>
      </w:r>
    </w:p>
    <w:p w:rsidR="00F00598" w:rsidRPr="00F00598" w:rsidRDefault="00F00598" w:rsidP="00F00598">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Pros</w:t>
      </w:r>
    </w:p>
    <w:p w:rsidR="00F00598" w:rsidRPr="00F00598" w:rsidRDefault="00F00598" w:rsidP="00F00598">
      <w:pPr>
        <w:numPr>
          <w:ilvl w:val="0"/>
          <w:numId w:val="3"/>
        </w:numPr>
        <w:spacing w:before="120" w:after="120" w:line="240" w:lineRule="auto"/>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With an equity-indexed annuity, the investor benefits when the stock market rises</w:t>
      </w:r>
      <w:r>
        <w:rPr>
          <w:rFonts w:ascii="Times New Roman" w:eastAsia="Times New Roman" w:hAnsi="Times New Roman" w:cs="Times New Roman"/>
          <w:color w:val="000000"/>
          <w:sz w:val="24"/>
          <w:szCs w:val="24"/>
        </w:rPr>
        <w:t>.</w:t>
      </w:r>
      <w:r w:rsidRPr="00F00598">
        <w:rPr>
          <w:rFonts w:ascii="Times New Roman" w:eastAsia="Times New Roman" w:hAnsi="Times New Roman" w:cs="Times New Roman"/>
          <w:color w:val="000000"/>
          <w:sz w:val="24"/>
          <w:szCs w:val="24"/>
        </w:rPr>
        <w:t xml:space="preserve"> The investor is protected from when the stocks tumble since the investor will receive a guaranteed minimum return. An equity-indexed annuity may provide a higher return than a fixed annuity. An equity-annuity is considered lower risk than a variable annuity.</w:t>
      </w:r>
    </w:p>
    <w:p w:rsidR="00F00598" w:rsidRPr="00F00598" w:rsidRDefault="00F00598" w:rsidP="00F00598">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Cons</w:t>
      </w:r>
    </w:p>
    <w:p w:rsidR="00F00598" w:rsidRPr="00F00598" w:rsidRDefault="00F00598" w:rsidP="00F00598">
      <w:pPr>
        <w:numPr>
          <w:ilvl w:val="0"/>
          <w:numId w:val="4"/>
        </w:num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F00598">
        <w:rPr>
          <w:rFonts w:ascii="Times New Roman" w:eastAsia="Times New Roman" w:hAnsi="Times New Roman" w:cs="Times New Roman"/>
          <w:color w:val="000000"/>
          <w:sz w:val="24"/>
          <w:szCs w:val="24"/>
        </w:rPr>
        <w:t xml:space="preserve">quity-indexed </w:t>
      </w:r>
      <w:hyperlink r:id="rId7" w:history="1">
        <w:r w:rsidRPr="00F00598">
          <w:rPr>
            <w:rFonts w:ascii="Times New Roman" w:eastAsia="Times New Roman" w:hAnsi="Times New Roman" w:cs="Times New Roman"/>
            <w:color w:val="006400"/>
            <w:sz w:val="24"/>
            <w:szCs w:val="24"/>
            <w:u w:val="single"/>
          </w:rPr>
          <w:t>annuities</w:t>
        </w:r>
      </w:hyperlink>
      <w:r w:rsidRPr="00F00598">
        <w:rPr>
          <w:rFonts w:ascii="Times New Roman" w:eastAsia="Times New Roman" w:hAnsi="Times New Roman" w:cs="Times New Roman"/>
          <w:color w:val="000000"/>
          <w:sz w:val="24"/>
          <w:szCs w:val="24"/>
        </w:rPr>
        <w:t xml:space="preserve"> are complex investment tools that come in various forms. Because they are so complicated, they are extremely difficult for investors to fully understand. Equity-indexed annuities do not always match the index's full return because they calculate gains in many different ways. There are fees, such as surrender charges that can last for 15 or more years an</w:t>
      </w:r>
      <w:r>
        <w:rPr>
          <w:rFonts w:ascii="Times New Roman" w:eastAsia="Times New Roman" w:hAnsi="Times New Roman" w:cs="Times New Roman"/>
          <w:color w:val="000000"/>
          <w:sz w:val="24"/>
          <w:szCs w:val="24"/>
        </w:rPr>
        <w:t xml:space="preserve">d can run as high as 20 percent. However the vast majority of these accounts have a 10 year surrender charge at a 10% which is on a sliding scale as you get closer to the 10 year mark. </w:t>
      </w:r>
    </w:p>
    <w:p w:rsidR="00F00598" w:rsidRPr="00F00598" w:rsidRDefault="00F00598" w:rsidP="00F00598">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F00598">
        <w:rPr>
          <w:rFonts w:ascii="Times New Roman" w:eastAsia="Times New Roman" w:hAnsi="Times New Roman" w:cs="Times New Roman"/>
          <w:color w:val="000000"/>
          <w:sz w:val="24"/>
          <w:szCs w:val="24"/>
        </w:rPr>
        <w:t>Expert Insight</w:t>
      </w:r>
    </w:p>
    <w:p w:rsidR="00F00598" w:rsidRPr="00F00598" w:rsidRDefault="00F00598" w:rsidP="00F00598">
      <w:pPr>
        <w:numPr>
          <w:ilvl w:val="0"/>
          <w:numId w:val="5"/>
        </w:numP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F00598">
        <w:rPr>
          <w:rFonts w:ascii="Times New Roman" w:eastAsia="Times New Roman" w:hAnsi="Times New Roman" w:cs="Times New Roman"/>
          <w:color w:val="000000"/>
          <w:sz w:val="24"/>
          <w:szCs w:val="24"/>
        </w:rPr>
        <w:t>hen buying an equity-indexed annuity, read the terms carefully and research all the fees involved before purchase.</w:t>
      </w:r>
      <w:r w:rsidR="00ED14E7">
        <w:rPr>
          <w:rFonts w:ascii="Times New Roman" w:eastAsia="Times New Roman" w:hAnsi="Times New Roman" w:cs="Times New Roman"/>
          <w:color w:val="000000"/>
          <w:sz w:val="24"/>
          <w:szCs w:val="24"/>
        </w:rPr>
        <w:t xml:space="preserve"> </w:t>
      </w:r>
      <w:r w:rsidR="00ED14E7" w:rsidRPr="00ED14E7">
        <w:rPr>
          <w:rFonts w:ascii="Times New Roman" w:eastAsia="Times New Roman" w:hAnsi="Times New Roman" w:cs="Times New Roman"/>
          <w:b/>
          <w:color w:val="000000"/>
          <w:sz w:val="24"/>
          <w:szCs w:val="24"/>
        </w:rPr>
        <w:t>WBG not only does this research for you but we also attached the best “riders” to the policies to best meet your personal needs</w:t>
      </w:r>
      <w:r w:rsidR="00ED14E7">
        <w:rPr>
          <w:rFonts w:ascii="Times New Roman" w:eastAsia="Times New Roman" w:hAnsi="Times New Roman" w:cs="Times New Roman"/>
          <w:color w:val="000000"/>
          <w:sz w:val="24"/>
          <w:szCs w:val="24"/>
        </w:rPr>
        <w:t>.</w:t>
      </w:r>
    </w:p>
    <w:p w:rsidR="00585115" w:rsidRPr="00585115" w:rsidRDefault="00F00598" w:rsidP="00585115">
      <w:pPr>
        <w:pStyle w:val="intro"/>
        <w:rPr>
          <w:rFonts w:ascii="Times New Roman" w:hAnsi="Times New Roman" w:cs="Times New Roman"/>
          <w:color w:val="000000"/>
          <w:sz w:val="24"/>
          <w:szCs w:val="24"/>
        </w:rPr>
      </w:pPr>
      <w:r w:rsidRPr="00F00598">
        <w:rPr>
          <w:color w:val="000000"/>
          <w:sz w:val="24"/>
          <w:szCs w:val="24"/>
        </w:rPr>
        <w:br/>
      </w:r>
      <w:r w:rsidR="00585115" w:rsidRPr="00585115">
        <w:rPr>
          <w:rFonts w:ascii="Times New Roman" w:hAnsi="Times New Roman" w:cs="Times New Roman"/>
          <w:color w:val="000000"/>
          <w:sz w:val="24"/>
          <w:szCs w:val="24"/>
        </w:rPr>
        <w:t xml:space="preserve">An indexed annuity is an investment product that provides a flow of payments to a buyer in return for a lump sum or series of lump sum payments. The flow of payments for an indexed annuity has a variable payment based on the performance of an underlying index. Most indexed </w:t>
      </w:r>
      <w:hyperlink r:id="rId8" w:history="1">
        <w:r w:rsidR="00585115" w:rsidRPr="00585115">
          <w:rPr>
            <w:rFonts w:ascii="Times New Roman" w:hAnsi="Times New Roman" w:cs="Times New Roman"/>
            <w:color w:val="006400"/>
            <w:sz w:val="24"/>
            <w:szCs w:val="24"/>
            <w:u w:val="single"/>
          </w:rPr>
          <w:t>annuities</w:t>
        </w:r>
      </w:hyperlink>
      <w:r w:rsidR="00585115" w:rsidRPr="00585115">
        <w:rPr>
          <w:rFonts w:ascii="Times New Roman" w:hAnsi="Times New Roman" w:cs="Times New Roman"/>
          <w:color w:val="000000"/>
          <w:sz w:val="24"/>
          <w:szCs w:val="24"/>
        </w:rPr>
        <w:t xml:space="preserve"> are linked to the performance of an underlying equity index such as the S&amp;P 500. Like all investment products, indexed annuities have pros and cons that should be understood before buying.</w:t>
      </w:r>
    </w:p>
    <w:p w:rsidR="00585115" w:rsidRPr="00585115" w:rsidRDefault="00585115" w:rsidP="00585115">
      <w:pPr>
        <w:numPr>
          <w:ilvl w:val="0"/>
          <w:numId w:val="6"/>
        </w:numPr>
        <w:spacing w:before="100" w:beforeAutospacing="1" w:after="100" w:afterAutospacing="1" w:line="240" w:lineRule="auto"/>
        <w:ind w:left="0"/>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lastRenderedPageBreak/>
        <w:t>Higher Returns</w:t>
      </w:r>
    </w:p>
    <w:p w:rsidR="00585115" w:rsidRP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 xml:space="preserve">Indexed annuities contain a potential for a higher return than a fixed </w:t>
      </w:r>
      <w:hyperlink r:id="rId9" w:history="1">
        <w:r w:rsidRPr="00585115">
          <w:rPr>
            <w:rFonts w:ascii="Times New Roman" w:eastAsia="Times New Roman" w:hAnsi="Times New Roman" w:cs="Times New Roman"/>
            <w:color w:val="006400"/>
            <w:sz w:val="24"/>
            <w:szCs w:val="24"/>
            <w:u w:val="single"/>
          </w:rPr>
          <w:t>annuity</w:t>
        </w:r>
      </w:hyperlink>
      <w:r w:rsidRPr="00585115">
        <w:rPr>
          <w:rFonts w:ascii="Times New Roman" w:eastAsia="Times New Roman" w:hAnsi="Times New Roman" w:cs="Times New Roman"/>
          <w:color w:val="000000"/>
          <w:sz w:val="24"/>
          <w:szCs w:val="24"/>
        </w:rPr>
        <w:t xml:space="preserve"> because the annuity holder shares in the return of the underlying index. If the underlying index has a strong performance, the annuity holder will share in that performance to the extent permitted by the annuity contract. The share of the index performance that is received by the annuity holder is called the participation rate, and can range from 50 percent to 90 percent of the return of the index.</w:t>
      </w:r>
    </w:p>
    <w:p w:rsidR="00585115" w:rsidRPr="00585115" w:rsidRDefault="00585115" w:rsidP="00585115">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Guaranteed Minimum Return</w:t>
      </w:r>
    </w:p>
    <w:p w:rsidR="00585115" w:rsidRP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Indexed annuities have a minimum rate of return that is guaranteed to the buyer. This is usually 3 percent a year but is sometimes based on only 90 percent of the cost of the annuity, so an annuity holder can have a negative annual return. However, a buyer is protected from a substantial decline in the stock market.</w:t>
      </w:r>
    </w:p>
    <w:p w:rsidR="00585115" w:rsidRPr="00585115" w:rsidRDefault="00585115" w:rsidP="00585115">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Many Choices</w:t>
      </w:r>
    </w:p>
    <w:p w:rsidR="00585115" w:rsidRP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 xml:space="preserve">Since indexed annuities are such a popular </w:t>
      </w:r>
      <w:hyperlink r:id="rId10" w:history="1">
        <w:r w:rsidRPr="00585115">
          <w:rPr>
            <w:rFonts w:ascii="Times New Roman" w:eastAsia="Times New Roman" w:hAnsi="Times New Roman" w:cs="Times New Roman"/>
            <w:color w:val="006400"/>
            <w:sz w:val="24"/>
            <w:szCs w:val="24"/>
            <w:u w:val="single"/>
          </w:rPr>
          <w:t>investment</w:t>
        </w:r>
      </w:hyperlink>
      <w:r w:rsidRPr="00585115">
        <w:rPr>
          <w:rFonts w:ascii="Times New Roman" w:eastAsia="Times New Roman" w:hAnsi="Times New Roman" w:cs="Times New Roman"/>
          <w:color w:val="000000"/>
          <w:sz w:val="24"/>
          <w:szCs w:val="24"/>
        </w:rPr>
        <w:t>, there are many different insurance companies that offer them to customers. The large supply of offerings will lead to more competition and better deals for buyers.</w:t>
      </w:r>
    </w:p>
    <w:p w:rsidR="00585115" w:rsidRPr="00585115" w:rsidRDefault="00585115" w:rsidP="00585115">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Credit Risk</w:t>
      </w:r>
    </w:p>
    <w:p w:rsidR="00585115" w:rsidRP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An indexed annuity represents a contract between an individual and the insurance company, and this contract is subject to the credit risk of that insurance company. If the insurance company becomes insolvent or is liquidated, the buyer would have to seek redress in the court system. Several nationally recognized ratings agencies maintain ratings of public and private insurance companies that an investor can use to monitor an insurer's financial strength.</w:t>
      </w:r>
    </w:p>
    <w:p w:rsidR="00585115" w:rsidRPr="00585115" w:rsidRDefault="00585115" w:rsidP="00585115">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Surrender Charge</w:t>
      </w:r>
    </w:p>
    <w:p w:rsidR="00585115" w:rsidRP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An investor who wants to withdraw funds from his indexed annuity contract early faces a surrender charge, which is a fee imposed by the insurance company to compensate it for returning the money early. Surrender charges can be a percentage of the amount withdrawn or a reduction in the interest rate credited to the annuity.</w:t>
      </w:r>
    </w:p>
    <w:p w:rsidR="00585115" w:rsidRPr="00585115" w:rsidRDefault="00585115" w:rsidP="00585115">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High Fees</w:t>
      </w:r>
    </w:p>
    <w:p w:rsid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Indexed annuities have substantial fees built into the contract, and not all these fees are transparent to a buyer. Although the insurance company pays commissions to brokers who sell indexed annuities, these commissions are ultimately paid by the consumer, since the insurer structures the annuity taking the commissions into account as a cost.</w:t>
      </w:r>
    </w:p>
    <w:p w:rsidR="00585115" w:rsidRDefault="00585115" w:rsidP="00585115">
      <w:pPr>
        <w:spacing w:before="120" w:after="120" w:line="240" w:lineRule="auto"/>
        <w:ind w:left="360"/>
        <w:rPr>
          <w:rFonts w:ascii="Times New Roman" w:eastAsia="Times New Roman" w:hAnsi="Times New Roman" w:cs="Times New Roman"/>
          <w:color w:val="000000"/>
          <w:sz w:val="24"/>
          <w:szCs w:val="24"/>
        </w:rPr>
      </w:pPr>
      <w:r w:rsidRPr="00585115">
        <w:rPr>
          <w:rFonts w:ascii="Times New Roman" w:eastAsia="Times New Roman" w:hAnsi="Times New Roman" w:cs="Times New Roman"/>
          <w:color w:val="000000"/>
          <w:sz w:val="24"/>
          <w:szCs w:val="24"/>
        </w:rPr>
        <w:t>Insurers also have hidden fees in the products. The percentage of the return not given to investors should be considered a fee as well. Some insurers also charge an asset management fee to manage the collective amount of annuity funds received.</w:t>
      </w:r>
    </w:p>
    <w:p w:rsidR="00BD4C8B" w:rsidRDefault="00BD4C8B" w:rsidP="00585115">
      <w:pPr>
        <w:spacing w:before="120" w:after="120" w:line="240" w:lineRule="auto"/>
        <w:ind w:left="360"/>
        <w:rPr>
          <w:rFonts w:ascii="Times New Roman" w:eastAsia="Times New Roman" w:hAnsi="Times New Roman" w:cs="Times New Roman"/>
          <w:color w:val="000000"/>
          <w:sz w:val="24"/>
          <w:szCs w:val="24"/>
        </w:rPr>
      </w:pPr>
    </w:p>
    <w:p w:rsidR="00585115" w:rsidRDefault="00585115" w:rsidP="00585115">
      <w:pPr>
        <w:spacing w:before="120" w:after="12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Wealth Builders Group, LLC is a non-captive, fee and offset commission financial planning firm. WBG can </w:t>
      </w:r>
      <w:r w:rsidR="00BD4C8B">
        <w:rPr>
          <w:rFonts w:ascii="Times New Roman" w:eastAsia="Times New Roman" w:hAnsi="Times New Roman" w:cs="Times New Roman"/>
          <w:color w:val="000000"/>
          <w:sz w:val="24"/>
          <w:szCs w:val="24"/>
        </w:rPr>
        <w:t xml:space="preserve">offer a wide range of annuity based products that are best suited to your personal needs and not the needs of a captive agent company. </w:t>
      </w:r>
      <w:r w:rsidR="00BD4C8B" w:rsidRPr="00ED14E7">
        <w:rPr>
          <w:rFonts w:ascii="Times New Roman" w:eastAsia="Times New Roman" w:hAnsi="Times New Roman" w:cs="Times New Roman"/>
          <w:b/>
          <w:color w:val="000000"/>
          <w:sz w:val="24"/>
          <w:szCs w:val="24"/>
        </w:rPr>
        <w:t>WBG prides itself in putting our client’s needs first; everything else is second</w:t>
      </w:r>
      <w:r w:rsidR="00BD4C8B">
        <w:rPr>
          <w:rFonts w:ascii="Times New Roman" w:eastAsia="Times New Roman" w:hAnsi="Times New Roman" w:cs="Times New Roman"/>
          <w:color w:val="000000"/>
          <w:sz w:val="24"/>
          <w:szCs w:val="24"/>
        </w:rPr>
        <w:t>.</w:t>
      </w:r>
    </w:p>
    <w:sectPr w:rsidR="00585115" w:rsidSect="00F0059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64E7"/>
    <w:multiLevelType w:val="multilevel"/>
    <w:tmpl w:val="651A1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23776"/>
    <w:multiLevelType w:val="multilevel"/>
    <w:tmpl w:val="CAB86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651D7"/>
    <w:multiLevelType w:val="multilevel"/>
    <w:tmpl w:val="E9D8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E08EB"/>
    <w:multiLevelType w:val="multilevel"/>
    <w:tmpl w:val="9C2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F589B"/>
    <w:multiLevelType w:val="multilevel"/>
    <w:tmpl w:val="DBA0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2A4583"/>
    <w:multiLevelType w:val="multilevel"/>
    <w:tmpl w:val="D55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F00598"/>
    <w:rsid w:val="00051236"/>
    <w:rsid w:val="00585115"/>
    <w:rsid w:val="009459FD"/>
    <w:rsid w:val="00BD4C8B"/>
    <w:rsid w:val="00ED14E7"/>
    <w:rsid w:val="00F00598"/>
    <w:rsid w:val="00FC4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3B"/>
  </w:style>
  <w:style w:type="paragraph" w:styleId="Heading2">
    <w:name w:val="heading 2"/>
    <w:basedOn w:val="Normal"/>
    <w:link w:val="Heading2Char"/>
    <w:uiPriority w:val="9"/>
    <w:qFormat/>
    <w:rsid w:val="00F00598"/>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598"/>
    <w:rPr>
      <w:rFonts w:ascii="Times New Roman" w:eastAsia="Times New Roman" w:hAnsi="Times New Roman" w:cs="Times New Roman"/>
      <w:sz w:val="36"/>
      <w:szCs w:val="36"/>
    </w:rPr>
  </w:style>
  <w:style w:type="character" w:styleId="Hyperlink">
    <w:name w:val="Hyperlink"/>
    <w:basedOn w:val="DefaultParagraphFont"/>
    <w:uiPriority w:val="99"/>
    <w:semiHidden/>
    <w:unhideWhenUsed/>
    <w:rsid w:val="00F00598"/>
    <w:rPr>
      <w:strike w:val="0"/>
      <w:dstrike w:val="0"/>
      <w:color w:val="0000FF"/>
      <w:u w:val="none"/>
      <w:effect w:val="none"/>
    </w:rPr>
  </w:style>
  <w:style w:type="paragraph" w:customStyle="1" w:styleId="intro">
    <w:name w:val="intro"/>
    <w:basedOn w:val="Normal"/>
    <w:rsid w:val="00F00598"/>
    <w:pPr>
      <w:spacing w:after="120" w:line="240" w:lineRule="auto"/>
    </w:pPr>
    <w:rPr>
      <w:rFonts w:ascii="Arial" w:eastAsia="Times New Roman" w:hAnsi="Arial" w:cs="Arial"/>
      <w:sz w:val="17"/>
      <w:szCs w:val="17"/>
    </w:rPr>
  </w:style>
  <w:style w:type="character" w:customStyle="1" w:styleId="itxtrst">
    <w:name w:val="itxtrst"/>
    <w:basedOn w:val="DefaultParagraphFont"/>
    <w:rsid w:val="00F00598"/>
  </w:style>
</w:styles>
</file>

<file path=word/webSettings.xml><?xml version="1.0" encoding="utf-8"?>
<w:webSettings xmlns:r="http://schemas.openxmlformats.org/officeDocument/2006/relationships" xmlns:w="http://schemas.openxmlformats.org/wordprocessingml/2006/main">
  <w:divs>
    <w:div w:id="170066421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998462202">
          <w:marLeft w:val="0"/>
          <w:marRight w:val="0"/>
          <w:marTop w:val="0"/>
          <w:marBottom w:val="0"/>
          <w:divBdr>
            <w:top w:val="none" w:sz="0" w:space="0" w:color="auto"/>
            <w:left w:val="none" w:sz="0" w:space="0" w:color="auto"/>
            <w:bottom w:val="none" w:sz="0" w:space="0" w:color="auto"/>
            <w:right w:val="none" w:sz="0" w:space="0" w:color="auto"/>
          </w:divBdr>
          <w:divsChild>
            <w:div w:id="1503860435">
              <w:marLeft w:val="0"/>
              <w:marRight w:val="0"/>
              <w:marTop w:val="0"/>
              <w:marBottom w:val="0"/>
              <w:divBdr>
                <w:top w:val="none" w:sz="0" w:space="0" w:color="auto"/>
                <w:left w:val="none" w:sz="0" w:space="0" w:color="auto"/>
                <w:bottom w:val="none" w:sz="0" w:space="0" w:color="auto"/>
                <w:right w:val="none" w:sz="0" w:space="0" w:color="auto"/>
              </w:divBdr>
              <w:divsChild>
                <w:div w:id="19343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5244">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2097751089">
          <w:marLeft w:val="0"/>
          <w:marRight w:val="0"/>
          <w:marTop w:val="0"/>
          <w:marBottom w:val="0"/>
          <w:divBdr>
            <w:top w:val="none" w:sz="0" w:space="0" w:color="auto"/>
            <w:left w:val="none" w:sz="0" w:space="0" w:color="auto"/>
            <w:bottom w:val="none" w:sz="0" w:space="0" w:color="auto"/>
            <w:right w:val="none" w:sz="0" w:space="0" w:color="auto"/>
          </w:divBdr>
          <w:divsChild>
            <w:div w:id="459110254">
              <w:marLeft w:val="0"/>
              <w:marRight w:val="0"/>
              <w:marTop w:val="0"/>
              <w:marBottom w:val="0"/>
              <w:divBdr>
                <w:top w:val="none" w:sz="0" w:space="0" w:color="auto"/>
                <w:left w:val="none" w:sz="0" w:space="0" w:color="auto"/>
                <w:bottom w:val="none" w:sz="0" w:space="0" w:color="auto"/>
                <w:right w:val="none" w:sz="0" w:space="0" w:color="auto"/>
              </w:divBdr>
              <w:divsChild>
                <w:div w:id="1797599923">
                  <w:marLeft w:val="0"/>
                  <w:marRight w:val="0"/>
                  <w:marTop w:val="0"/>
                  <w:marBottom w:val="0"/>
                  <w:divBdr>
                    <w:top w:val="none" w:sz="0" w:space="0" w:color="auto"/>
                    <w:left w:val="none" w:sz="0" w:space="0" w:color="auto"/>
                    <w:bottom w:val="none" w:sz="0" w:space="0" w:color="auto"/>
                    <w:right w:val="none" w:sz="0" w:space="0" w:color="auto"/>
                  </w:divBdr>
                </w:div>
              </w:divsChild>
            </w:div>
            <w:div w:id="1422529956">
              <w:marLeft w:val="0"/>
              <w:marRight w:val="0"/>
              <w:marTop w:val="0"/>
              <w:marBottom w:val="0"/>
              <w:divBdr>
                <w:top w:val="none" w:sz="0" w:space="0" w:color="auto"/>
                <w:left w:val="none" w:sz="0" w:space="0" w:color="auto"/>
                <w:bottom w:val="none" w:sz="0" w:space="0" w:color="auto"/>
                <w:right w:val="none" w:sz="0" w:space="0" w:color="auto"/>
              </w:divBdr>
              <w:divsChild>
                <w:div w:id="1677920752">
                  <w:marLeft w:val="0"/>
                  <w:marRight w:val="0"/>
                  <w:marTop w:val="0"/>
                  <w:marBottom w:val="0"/>
                  <w:divBdr>
                    <w:top w:val="none" w:sz="0" w:space="0" w:color="auto"/>
                    <w:left w:val="none" w:sz="0" w:space="0" w:color="auto"/>
                    <w:bottom w:val="none" w:sz="0" w:space="0" w:color="auto"/>
                    <w:right w:val="none" w:sz="0" w:space="0" w:color="auto"/>
                  </w:divBdr>
                </w:div>
              </w:divsChild>
            </w:div>
            <w:div w:id="1176110733">
              <w:marLeft w:val="0"/>
              <w:marRight w:val="0"/>
              <w:marTop w:val="0"/>
              <w:marBottom w:val="0"/>
              <w:divBdr>
                <w:top w:val="none" w:sz="0" w:space="0" w:color="auto"/>
                <w:left w:val="none" w:sz="0" w:space="0" w:color="auto"/>
                <w:bottom w:val="none" w:sz="0" w:space="0" w:color="auto"/>
                <w:right w:val="none" w:sz="0" w:space="0" w:color="auto"/>
              </w:divBdr>
              <w:divsChild>
                <w:div w:id="835926562">
                  <w:marLeft w:val="0"/>
                  <w:marRight w:val="0"/>
                  <w:marTop w:val="0"/>
                  <w:marBottom w:val="0"/>
                  <w:divBdr>
                    <w:top w:val="none" w:sz="0" w:space="0" w:color="auto"/>
                    <w:left w:val="none" w:sz="0" w:space="0" w:color="auto"/>
                    <w:bottom w:val="none" w:sz="0" w:space="0" w:color="auto"/>
                    <w:right w:val="none" w:sz="0" w:space="0" w:color="auto"/>
                  </w:divBdr>
                </w:div>
              </w:divsChild>
            </w:div>
            <w:div w:id="1194422586">
              <w:marLeft w:val="0"/>
              <w:marRight w:val="0"/>
              <w:marTop w:val="0"/>
              <w:marBottom w:val="0"/>
              <w:divBdr>
                <w:top w:val="none" w:sz="0" w:space="0" w:color="auto"/>
                <w:left w:val="none" w:sz="0" w:space="0" w:color="auto"/>
                <w:bottom w:val="none" w:sz="0" w:space="0" w:color="auto"/>
                <w:right w:val="none" w:sz="0" w:space="0" w:color="auto"/>
              </w:divBdr>
              <w:divsChild>
                <w:div w:id="1591432119">
                  <w:marLeft w:val="0"/>
                  <w:marRight w:val="0"/>
                  <w:marTop w:val="0"/>
                  <w:marBottom w:val="0"/>
                  <w:divBdr>
                    <w:top w:val="none" w:sz="0" w:space="0" w:color="auto"/>
                    <w:left w:val="none" w:sz="0" w:space="0" w:color="auto"/>
                    <w:bottom w:val="none" w:sz="0" w:space="0" w:color="auto"/>
                    <w:right w:val="none" w:sz="0" w:space="0" w:color="auto"/>
                  </w:divBdr>
                </w:div>
              </w:divsChild>
            </w:div>
            <w:div w:id="845484331">
              <w:marLeft w:val="0"/>
              <w:marRight w:val="0"/>
              <w:marTop w:val="0"/>
              <w:marBottom w:val="0"/>
              <w:divBdr>
                <w:top w:val="none" w:sz="0" w:space="0" w:color="auto"/>
                <w:left w:val="none" w:sz="0" w:space="0" w:color="auto"/>
                <w:bottom w:val="none" w:sz="0" w:space="0" w:color="auto"/>
                <w:right w:val="none" w:sz="0" w:space="0" w:color="auto"/>
              </w:divBdr>
              <w:divsChild>
                <w:div w:id="1957180010">
                  <w:marLeft w:val="0"/>
                  <w:marRight w:val="0"/>
                  <w:marTop w:val="0"/>
                  <w:marBottom w:val="0"/>
                  <w:divBdr>
                    <w:top w:val="none" w:sz="0" w:space="0" w:color="auto"/>
                    <w:left w:val="none" w:sz="0" w:space="0" w:color="auto"/>
                    <w:bottom w:val="none" w:sz="0" w:space="0" w:color="auto"/>
                    <w:right w:val="none" w:sz="0" w:space="0" w:color="auto"/>
                  </w:divBdr>
                </w:div>
              </w:divsChild>
            </w:div>
            <w:div w:id="1189224360">
              <w:marLeft w:val="0"/>
              <w:marRight w:val="0"/>
              <w:marTop w:val="0"/>
              <w:marBottom w:val="0"/>
              <w:divBdr>
                <w:top w:val="none" w:sz="0" w:space="0" w:color="auto"/>
                <w:left w:val="none" w:sz="0" w:space="0" w:color="auto"/>
                <w:bottom w:val="none" w:sz="0" w:space="0" w:color="auto"/>
                <w:right w:val="none" w:sz="0" w:space="0" w:color="auto"/>
              </w:divBdr>
              <w:divsChild>
                <w:div w:id="8633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6294">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651640539">
          <w:marLeft w:val="0"/>
          <w:marRight w:val="0"/>
          <w:marTop w:val="0"/>
          <w:marBottom w:val="0"/>
          <w:divBdr>
            <w:top w:val="none" w:sz="0" w:space="0" w:color="auto"/>
            <w:left w:val="none" w:sz="0" w:space="0" w:color="auto"/>
            <w:bottom w:val="none" w:sz="0" w:space="0" w:color="auto"/>
            <w:right w:val="none" w:sz="0" w:space="0" w:color="auto"/>
          </w:divBdr>
          <w:divsChild>
            <w:div w:id="874466229">
              <w:marLeft w:val="0"/>
              <w:marRight w:val="0"/>
              <w:marTop w:val="0"/>
              <w:marBottom w:val="0"/>
              <w:divBdr>
                <w:top w:val="none" w:sz="0" w:space="0" w:color="auto"/>
                <w:left w:val="none" w:sz="0" w:space="0" w:color="auto"/>
                <w:bottom w:val="none" w:sz="0" w:space="0" w:color="auto"/>
                <w:right w:val="none" w:sz="0" w:space="0" w:color="auto"/>
              </w:divBdr>
              <w:divsChild>
                <w:div w:id="2103915335">
                  <w:marLeft w:val="0"/>
                  <w:marRight w:val="0"/>
                  <w:marTop w:val="0"/>
                  <w:marBottom w:val="0"/>
                  <w:divBdr>
                    <w:top w:val="none" w:sz="0" w:space="0" w:color="auto"/>
                    <w:left w:val="none" w:sz="0" w:space="0" w:color="auto"/>
                    <w:bottom w:val="none" w:sz="0" w:space="0" w:color="auto"/>
                    <w:right w:val="none" w:sz="0" w:space="0" w:color="auto"/>
                  </w:divBdr>
                </w:div>
              </w:divsChild>
            </w:div>
            <w:div w:id="594283696">
              <w:marLeft w:val="0"/>
              <w:marRight w:val="0"/>
              <w:marTop w:val="0"/>
              <w:marBottom w:val="0"/>
              <w:divBdr>
                <w:top w:val="none" w:sz="0" w:space="0" w:color="auto"/>
                <w:left w:val="none" w:sz="0" w:space="0" w:color="auto"/>
                <w:bottom w:val="none" w:sz="0" w:space="0" w:color="auto"/>
                <w:right w:val="none" w:sz="0" w:space="0" w:color="auto"/>
              </w:divBdr>
              <w:divsChild>
                <w:div w:id="422537287">
                  <w:marLeft w:val="0"/>
                  <w:marRight w:val="0"/>
                  <w:marTop w:val="0"/>
                  <w:marBottom w:val="0"/>
                  <w:divBdr>
                    <w:top w:val="none" w:sz="0" w:space="0" w:color="auto"/>
                    <w:left w:val="none" w:sz="0" w:space="0" w:color="auto"/>
                    <w:bottom w:val="none" w:sz="0" w:space="0" w:color="auto"/>
                    <w:right w:val="none" w:sz="0" w:space="0" w:color="auto"/>
                  </w:divBdr>
                </w:div>
              </w:divsChild>
            </w:div>
            <w:div w:id="826091023">
              <w:marLeft w:val="0"/>
              <w:marRight w:val="0"/>
              <w:marTop w:val="0"/>
              <w:marBottom w:val="0"/>
              <w:divBdr>
                <w:top w:val="none" w:sz="0" w:space="0" w:color="auto"/>
                <w:left w:val="none" w:sz="0" w:space="0" w:color="auto"/>
                <w:bottom w:val="none" w:sz="0" w:space="0" w:color="auto"/>
                <w:right w:val="none" w:sz="0" w:space="0" w:color="auto"/>
              </w:divBdr>
              <w:divsChild>
                <w:div w:id="751048500">
                  <w:marLeft w:val="0"/>
                  <w:marRight w:val="0"/>
                  <w:marTop w:val="0"/>
                  <w:marBottom w:val="0"/>
                  <w:divBdr>
                    <w:top w:val="none" w:sz="0" w:space="0" w:color="auto"/>
                    <w:left w:val="none" w:sz="0" w:space="0" w:color="auto"/>
                    <w:bottom w:val="none" w:sz="0" w:space="0" w:color="auto"/>
                    <w:right w:val="none" w:sz="0" w:space="0" w:color="auto"/>
                  </w:divBdr>
                </w:div>
              </w:divsChild>
            </w:div>
            <w:div w:id="2121945385">
              <w:marLeft w:val="0"/>
              <w:marRight w:val="0"/>
              <w:marTop w:val="0"/>
              <w:marBottom w:val="0"/>
              <w:divBdr>
                <w:top w:val="none" w:sz="0" w:space="0" w:color="auto"/>
                <w:left w:val="none" w:sz="0" w:space="0" w:color="auto"/>
                <w:bottom w:val="none" w:sz="0" w:space="0" w:color="auto"/>
                <w:right w:val="none" w:sz="0" w:space="0" w:color="auto"/>
              </w:divBdr>
              <w:divsChild>
                <w:div w:id="16445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ow.com/about_5435174_pros-cons-indexed-annuities.html" TargetMode="External"/><Relationship Id="rId3" Type="http://schemas.openxmlformats.org/officeDocument/2006/relationships/settings" Target="settings.xml"/><Relationship Id="rId7" Type="http://schemas.openxmlformats.org/officeDocument/2006/relationships/hyperlink" Target="http://www.ehow.com/about_7271517_pros-cons-equity_indexed-annui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about_7271517_pros-cons-equity_indexed-annuity.html" TargetMode="External"/><Relationship Id="rId11" Type="http://schemas.openxmlformats.org/officeDocument/2006/relationships/fontTable" Target="fontTable.xml"/><Relationship Id="rId5" Type="http://schemas.openxmlformats.org/officeDocument/2006/relationships/hyperlink" Target="http://www.ehow.com/about_7271517_pros-cons-equity_indexed-annuity.html" TargetMode="External"/><Relationship Id="rId10" Type="http://schemas.openxmlformats.org/officeDocument/2006/relationships/hyperlink" Target="http://www.ehow.com/about_5435174_pros-cons-indexed-annuities.html" TargetMode="External"/><Relationship Id="rId4" Type="http://schemas.openxmlformats.org/officeDocument/2006/relationships/webSettings" Target="webSettings.xml"/><Relationship Id="rId9" Type="http://schemas.openxmlformats.org/officeDocument/2006/relationships/hyperlink" Target="http://www.ehow.com/about_5435174_pros-cons-indexed-annu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975</Words>
  <Characters>5561</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Definition</vt:lpstr>
      <vt:lpstr>    Function</vt:lpstr>
      <vt:lpstr>    Pros</vt:lpstr>
      <vt:lpstr>    Cons</vt:lpstr>
      <vt:lpstr>    Expert Insight</vt:lpstr>
      <vt:lpstr>    Higher Returns</vt:lpstr>
      <vt:lpstr>    Guaranteed Minimum Return</vt:lpstr>
      <vt:lpstr>    Many Choices</vt:lpstr>
      <vt:lpstr>    Credit Risk</vt:lpstr>
      <vt:lpstr>    Surrender Charge</vt:lpstr>
      <vt:lpstr>    High Fees</vt:lpstr>
    </vt:vector>
  </TitlesOfParts>
  <Company>Grizli777</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Zorbyx1</dc:creator>
  <cp:lastModifiedBy>Zorbyx1</cp:lastModifiedBy>
  <cp:revision>2</cp:revision>
  <dcterms:created xsi:type="dcterms:W3CDTF">2011-10-09T21:52:00Z</dcterms:created>
  <dcterms:modified xsi:type="dcterms:W3CDTF">2011-10-09T22:48:00Z</dcterms:modified>
</cp:coreProperties>
</file>